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9" w:type="dxa"/>
        <w:tblInd w:w="-1139" w:type="dxa"/>
        <w:tblLook w:val="04A0" w:firstRow="1" w:lastRow="0" w:firstColumn="1" w:lastColumn="0" w:noHBand="0" w:noVBand="1"/>
      </w:tblPr>
      <w:tblGrid>
        <w:gridCol w:w="8080"/>
        <w:gridCol w:w="2409"/>
      </w:tblGrid>
      <w:tr w:rsidR="00F87E8A" w14:paraId="2A443E0A" w14:textId="77777777" w:rsidTr="00D63D72">
        <w:trPr>
          <w:trHeight w:val="1013"/>
        </w:trPr>
        <w:tc>
          <w:tcPr>
            <w:tcW w:w="8080" w:type="dxa"/>
          </w:tcPr>
          <w:p w14:paraId="58A8F66C" w14:textId="77777777" w:rsidR="00F87E8A" w:rsidRDefault="00F87E8A" w:rsidP="00D63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meeting of the Polling District Working Group to confirm the agreed parameters and identified process for the review and timetable to be followed.</w:t>
            </w:r>
          </w:p>
        </w:tc>
        <w:tc>
          <w:tcPr>
            <w:tcW w:w="2409" w:type="dxa"/>
          </w:tcPr>
          <w:p w14:paraId="650274B5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July 2024 (completed)</w:t>
            </w:r>
          </w:p>
        </w:tc>
      </w:tr>
      <w:tr w:rsidR="00F87E8A" w14:paraId="61B8C7FD" w14:textId="77777777" w:rsidTr="00D63D72">
        <w:trPr>
          <w:trHeight w:val="3533"/>
        </w:trPr>
        <w:tc>
          <w:tcPr>
            <w:tcW w:w="8080" w:type="dxa"/>
          </w:tcPr>
          <w:p w14:paraId="170CC9E5" w14:textId="77777777" w:rsidR="00F87E8A" w:rsidRDefault="00F87E8A" w:rsidP="00D63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consultation period </w:t>
            </w:r>
            <w:proofErr w:type="gramStart"/>
            <w:r>
              <w:rPr>
                <w:rFonts w:ascii="Arial" w:hAnsi="Arial" w:cs="Arial"/>
              </w:rPr>
              <w:t>begins:-</w:t>
            </w:r>
            <w:proofErr w:type="gramEnd"/>
          </w:p>
          <w:p w14:paraId="60AA1BE0" w14:textId="77777777" w:rsidR="00F87E8A" w:rsidRDefault="00F87E8A" w:rsidP="00D63D72">
            <w:pPr>
              <w:rPr>
                <w:rFonts w:ascii="Arial" w:hAnsi="Arial" w:cs="Arial"/>
              </w:rPr>
            </w:pPr>
          </w:p>
          <w:p w14:paraId="78FC375D" w14:textId="77777777" w:rsidR="00F87E8A" w:rsidRDefault="00F87E8A" w:rsidP="00D63D7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714"/>
              <w:rPr>
                <w:rFonts w:ascii="Arial" w:hAnsi="Arial"/>
                <w:sz w:val="24"/>
              </w:rPr>
            </w:pPr>
            <w:r w:rsidRPr="00F13151">
              <w:rPr>
                <w:rFonts w:ascii="Arial" w:hAnsi="Arial"/>
                <w:sz w:val="24"/>
              </w:rPr>
              <w:t xml:space="preserve">A notice confirming the details of the review to be placed on the Council’s web site and in each of the </w:t>
            </w:r>
            <w:r>
              <w:rPr>
                <w:rFonts w:ascii="Arial" w:hAnsi="Arial"/>
                <w:sz w:val="24"/>
              </w:rPr>
              <w:t>Borough’s libraries and the reception area of the Huyton Municipal Building</w:t>
            </w:r>
            <w:r w:rsidRPr="00F13151">
              <w:rPr>
                <w:rFonts w:ascii="Arial" w:hAnsi="Arial"/>
                <w:sz w:val="24"/>
              </w:rPr>
              <w:t>.</w:t>
            </w:r>
          </w:p>
          <w:p w14:paraId="7EE4E690" w14:textId="77777777" w:rsidR="00F87E8A" w:rsidRDefault="00F87E8A" w:rsidP="00D63D72">
            <w:pPr>
              <w:pStyle w:val="ListParagraph"/>
              <w:spacing w:after="0" w:line="240" w:lineRule="auto"/>
              <w:ind w:left="714" w:hanging="714"/>
              <w:rPr>
                <w:rFonts w:ascii="Arial" w:hAnsi="Arial"/>
                <w:sz w:val="24"/>
              </w:rPr>
            </w:pPr>
          </w:p>
          <w:p w14:paraId="2E6E2537" w14:textId="77777777" w:rsidR="00F87E8A" w:rsidRDefault="00F87E8A" w:rsidP="00D63D7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714"/>
              <w:rPr>
                <w:rFonts w:ascii="Arial" w:hAnsi="Arial"/>
                <w:sz w:val="24"/>
              </w:rPr>
            </w:pPr>
            <w:r w:rsidRPr="00F13151">
              <w:rPr>
                <w:rFonts w:ascii="Arial" w:hAnsi="Arial"/>
                <w:sz w:val="24"/>
              </w:rPr>
              <w:t xml:space="preserve">Ward </w:t>
            </w:r>
            <w:r>
              <w:rPr>
                <w:rFonts w:ascii="Arial" w:hAnsi="Arial"/>
                <w:sz w:val="24"/>
              </w:rPr>
              <w:t>Councillors</w:t>
            </w:r>
            <w:r w:rsidRPr="00F13151">
              <w:rPr>
                <w:rFonts w:ascii="Arial" w:hAnsi="Arial"/>
                <w:sz w:val="24"/>
              </w:rPr>
              <w:t>, Parish and Town Councils, Members of Parliament, (Acting) Returning Officers</w:t>
            </w:r>
            <w:r>
              <w:rPr>
                <w:rFonts w:ascii="Arial" w:hAnsi="Arial"/>
                <w:sz w:val="24"/>
              </w:rPr>
              <w:t>,</w:t>
            </w:r>
            <w:r w:rsidRPr="00F13151">
              <w:rPr>
                <w:rFonts w:ascii="Arial" w:hAnsi="Arial"/>
                <w:sz w:val="24"/>
              </w:rPr>
              <w:t xml:space="preserve"> and other interested parties to be consulted regarding the locations of the existing polling places and polling district boundaries.</w:t>
            </w:r>
          </w:p>
          <w:p w14:paraId="52966F0B" w14:textId="77777777" w:rsidR="00F87E8A" w:rsidRDefault="00F87E8A" w:rsidP="00D63D72">
            <w:pPr>
              <w:pStyle w:val="ListParagraph"/>
              <w:spacing w:after="0" w:line="240" w:lineRule="auto"/>
              <w:ind w:left="714" w:hanging="714"/>
              <w:rPr>
                <w:rFonts w:ascii="Arial" w:hAnsi="Arial"/>
                <w:sz w:val="24"/>
              </w:rPr>
            </w:pPr>
          </w:p>
          <w:p w14:paraId="702EDE72" w14:textId="77777777" w:rsidR="00F87E8A" w:rsidRDefault="00F87E8A" w:rsidP="00D63D7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13151">
              <w:rPr>
                <w:rFonts w:ascii="Arial" w:hAnsi="Arial"/>
                <w:sz w:val="24"/>
              </w:rPr>
              <w:t>Initial consultation period end</w:t>
            </w:r>
            <w:r>
              <w:rPr>
                <w:rFonts w:ascii="Arial" w:hAnsi="Arial"/>
                <w:sz w:val="24"/>
              </w:rPr>
              <w:t>s.</w:t>
            </w:r>
          </w:p>
        </w:tc>
        <w:tc>
          <w:tcPr>
            <w:tcW w:w="2409" w:type="dxa"/>
          </w:tcPr>
          <w:p w14:paraId="5118B95E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July 2024</w:t>
            </w:r>
          </w:p>
          <w:p w14:paraId="3C8C3207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(completed)</w:t>
            </w:r>
          </w:p>
          <w:p w14:paraId="6967F914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54CB597E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18351FD3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4912AE74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6CBB78F2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6F1BCFD3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1900D1DB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4F7F904E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6BCFE0B1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20EBD6C5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 w:rsidRPr="001D1066">
              <w:rPr>
                <w:rFonts w:ascii="Arial" w:hAnsi="Arial" w:cs="Arial"/>
              </w:rPr>
              <w:t>12 September 2024</w:t>
            </w:r>
          </w:p>
          <w:p w14:paraId="129B0FC6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(completed)</w:t>
            </w:r>
          </w:p>
        </w:tc>
      </w:tr>
      <w:tr w:rsidR="00F87E8A" w14:paraId="24730B73" w14:textId="77777777" w:rsidTr="00D63D72">
        <w:trPr>
          <w:trHeight w:val="976"/>
        </w:trPr>
        <w:tc>
          <w:tcPr>
            <w:tcW w:w="8080" w:type="dxa"/>
          </w:tcPr>
          <w:p w14:paraId="08DD236F" w14:textId="77777777" w:rsidR="00F87E8A" w:rsidRPr="004B4F17" w:rsidRDefault="00F87E8A" w:rsidP="00D63D72">
            <w:pPr>
              <w:rPr>
                <w:rFonts w:ascii="Arial" w:hAnsi="Arial" w:cs="Arial"/>
              </w:rPr>
            </w:pPr>
            <w:r w:rsidRPr="004B4F17">
              <w:rPr>
                <w:rFonts w:ascii="Arial" w:hAnsi="Arial"/>
              </w:rPr>
              <w:t>Polling District Review Working Group to meet to consider and agree provisional proposals (where required, site visits to individual locations will be arranged).</w:t>
            </w:r>
          </w:p>
        </w:tc>
        <w:tc>
          <w:tcPr>
            <w:tcW w:w="2409" w:type="dxa"/>
            <w:shd w:val="clear" w:color="auto" w:fill="auto"/>
          </w:tcPr>
          <w:p w14:paraId="5D4F0941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 w:rsidRPr="00F30184">
              <w:rPr>
                <w:rFonts w:ascii="Arial" w:hAnsi="Arial" w:cs="Arial"/>
              </w:rPr>
              <w:t>3 October 2024</w:t>
            </w:r>
          </w:p>
          <w:p w14:paraId="26A509BB" w14:textId="22E212D3" w:rsidR="00A42A74" w:rsidRDefault="00A42A74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(completed)</w:t>
            </w:r>
          </w:p>
        </w:tc>
      </w:tr>
      <w:tr w:rsidR="00F87E8A" w14:paraId="46CC7BD3" w14:textId="77777777" w:rsidTr="00D63D72">
        <w:trPr>
          <w:trHeight w:val="1273"/>
        </w:trPr>
        <w:tc>
          <w:tcPr>
            <w:tcW w:w="8080" w:type="dxa"/>
          </w:tcPr>
          <w:p w14:paraId="6C8AFD50" w14:textId="77777777" w:rsidR="00F87E8A" w:rsidRDefault="00F87E8A" w:rsidP="00D63D72">
            <w:pPr>
              <w:rPr>
                <w:rFonts w:ascii="Arial" w:hAnsi="Arial"/>
              </w:rPr>
            </w:pPr>
            <w:r w:rsidRPr="004B4F17">
              <w:rPr>
                <w:rFonts w:ascii="Arial" w:hAnsi="Arial"/>
              </w:rPr>
              <w:t>Elected Members to be consulted regarding draft proposals for new polling place locations.</w:t>
            </w:r>
          </w:p>
          <w:p w14:paraId="2B24CB4B" w14:textId="77777777" w:rsidR="00F87E8A" w:rsidRDefault="00F87E8A" w:rsidP="00D63D72">
            <w:pPr>
              <w:rPr>
                <w:rFonts w:ascii="Arial" w:hAnsi="Arial"/>
              </w:rPr>
            </w:pPr>
          </w:p>
          <w:p w14:paraId="3D97BF02" w14:textId="77777777" w:rsidR="00F87E8A" w:rsidRPr="004B4F17" w:rsidRDefault="00F87E8A" w:rsidP="00D63D72">
            <w:pPr>
              <w:rPr>
                <w:rFonts w:ascii="Arial" w:hAnsi="Arial" w:cs="Arial"/>
              </w:rPr>
            </w:pPr>
            <w:r w:rsidRPr="004B4F17">
              <w:rPr>
                <w:rFonts w:ascii="Arial" w:hAnsi="Arial"/>
              </w:rPr>
              <w:t xml:space="preserve">Any site visit requests to be timed </w:t>
            </w:r>
            <w:r w:rsidRPr="001D1066">
              <w:rPr>
                <w:rFonts w:ascii="Arial" w:hAnsi="Arial"/>
              </w:rPr>
              <w:t>prior to 17 October 2024.</w:t>
            </w:r>
          </w:p>
        </w:tc>
        <w:tc>
          <w:tcPr>
            <w:tcW w:w="2409" w:type="dxa"/>
          </w:tcPr>
          <w:p w14:paraId="01878380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 w:rsidRPr="001D1066">
              <w:rPr>
                <w:rFonts w:ascii="Arial" w:hAnsi="Arial" w:cs="Arial"/>
              </w:rPr>
              <w:t>3 Oct</w:t>
            </w:r>
            <w:r>
              <w:rPr>
                <w:rFonts w:ascii="Arial" w:hAnsi="Arial" w:cs="Arial"/>
              </w:rPr>
              <w:t>ober 2024 to</w:t>
            </w:r>
            <w:r w:rsidRPr="001D1066">
              <w:rPr>
                <w:rFonts w:ascii="Arial" w:hAnsi="Arial" w:cs="Arial"/>
              </w:rPr>
              <w:t xml:space="preserve"> 17 October</w:t>
            </w:r>
            <w:r>
              <w:rPr>
                <w:rFonts w:ascii="Arial" w:hAnsi="Arial" w:cs="Arial"/>
              </w:rPr>
              <w:t xml:space="preserve"> 2024</w:t>
            </w:r>
          </w:p>
        </w:tc>
      </w:tr>
      <w:tr w:rsidR="00F87E8A" w14:paraId="63C89C66" w14:textId="77777777" w:rsidTr="00D63D72">
        <w:trPr>
          <w:trHeight w:val="1264"/>
        </w:trPr>
        <w:tc>
          <w:tcPr>
            <w:tcW w:w="8080" w:type="dxa"/>
          </w:tcPr>
          <w:p w14:paraId="2DB71B95" w14:textId="77777777" w:rsidR="00F87E8A" w:rsidRPr="004B4F17" w:rsidRDefault="00F87E8A" w:rsidP="00D63D72">
            <w:pPr>
              <w:rPr>
                <w:rFonts w:ascii="Arial" w:hAnsi="Arial" w:cs="Arial"/>
              </w:rPr>
            </w:pPr>
            <w:r w:rsidRPr="004B4F17">
              <w:rPr>
                <w:rFonts w:ascii="Arial" w:hAnsi="Arial"/>
              </w:rPr>
              <w:t xml:space="preserve">The Working Group to meet to consider Elected Member comments regarding the draft proposals for new polling districts and places. </w:t>
            </w:r>
            <w:r>
              <w:rPr>
                <w:rFonts w:ascii="Arial" w:hAnsi="Arial"/>
              </w:rPr>
              <w:t xml:space="preserve"> </w:t>
            </w:r>
            <w:r w:rsidRPr="004B4F17">
              <w:rPr>
                <w:rFonts w:ascii="Arial" w:hAnsi="Arial"/>
              </w:rPr>
              <w:t>The Working Group to confirm the proposals to be circulated for wider comment as part of the second consultation period.</w:t>
            </w:r>
          </w:p>
        </w:tc>
        <w:tc>
          <w:tcPr>
            <w:tcW w:w="2409" w:type="dxa"/>
          </w:tcPr>
          <w:p w14:paraId="64A9DE78" w14:textId="4DBEA560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  <w:r w:rsidRPr="00FC1C6C">
              <w:rPr>
                <w:rFonts w:ascii="Arial" w:hAnsi="Arial" w:cs="Arial"/>
              </w:rPr>
              <w:t>2</w:t>
            </w:r>
            <w:r w:rsidR="005B698F" w:rsidRPr="00FC1C6C">
              <w:rPr>
                <w:rFonts w:ascii="Arial" w:hAnsi="Arial" w:cs="Arial"/>
              </w:rPr>
              <w:t>9</w:t>
            </w:r>
            <w:r w:rsidRPr="00FC1C6C">
              <w:rPr>
                <w:rFonts w:ascii="Arial" w:hAnsi="Arial" w:cs="Arial"/>
              </w:rPr>
              <w:t xml:space="preserve"> October 2024</w:t>
            </w:r>
          </w:p>
        </w:tc>
      </w:tr>
      <w:tr w:rsidR="00F87E8A" w14:paraId="2200608F" w14:textId="77777777" w:rsidTr="00D63D72">
        <w:trPr>
          <w:trHeight w:val="1820"/>
        </w:trPr>
        <w:tc>
          <w:tcPr>
            <w:tcW w:w="8080" w:type="dxa"/>
          </w:tcPr>
          <w:p w14:paraId="2224EA18" w14:textId="77777777" w:rsidR="00F87E8A" w:rsidRPr="00AC4F20" w:rsidRDefault="00F87E8A" w:rsidP="00D63D72">
            <w:pPr>
              <w:rPr>
                <w:rFonts w:ascii="Arial" w:hAnsi="Arial"/>
              </w:rPr>
            </w:pPr>
            <w:r w:rsidRPr="00AC4F20">
              <w:rPr>
                <w:rFonts w:ascii="Arial" w:hAnsi="Arial"/>
              </w:rPr>
              <w:t xml:space="preserve">Second consultation period </w:t>
            </w:r>
            <w:proofErr w:type="gramStart"/>
            <w:r w:rsidRPr="00AC4F20">
              <w:rPr>
                <w:rFonts w:ascii="Arial" w:hAnsi="Arial"/>
              </w:rPr>
              <w:t>begins:-</w:t>
            </w:r>
            <w:proofErr w:type="gramEnd"/>
          </w:p>
          <w:p w14:paraId="7D3569EA" w14:textId="77777777" w:rsidR="00F87E8A" w:rsidRPr="00AC4F20" w:rsidRDefault="00F87E8A" w:rsidP="00D63D72">
            <w:pPr>
              <w:rPr>
                <w:rFonts w:ascii="Arial" w:hAnsi="Arial"/>
              </w:rPr>
            </w:pPr>
          </w:p>
          <w:p w14:paraId="052D35FD" w14:textId="77777777" w:rsidR="00F87E8A" w:rsidRPr="00AC4F20" w:rsidRDefault="00F87E8A" w:rsidP="00D63D7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20" w:hanging="720"/>
              <w:rPr>
                <w:rFonts w:ascii="Arial" w:hAnsi="Arial"/>
                <w:sz w:val="24"/>
                <w:szCs w:val="24"/>
              </w:rPr>
            </w:pPr>
            <w:r w:rsidRPr="00AC4F20">
              <w:rPr>
                <w:rFonts w:ascii="Arial" w:hAnsi="Arial"/>
                <w:sz w:val="24"/>
                <w:szCs w:val="24"/>
              </w:rPr>
              <w:t>Parish and Town Councils, Members of Parliament, (Acting) Returning Officers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Pr="00AC4F20">
              <w:rPr>
                <w:rFonts w:ascii="Arial" w:hAnsi="Arial"/>
                <w:sz w:val="24"/>
                <w:szCs w:val="24"/>
              </w:rPr>
              <w:t xml:space="preserve"> and other interested parties to be consulted regarding the Council’s proposals relating to new polling district boundaries and polling place locations within the new Ward boundaries.</w:t>
            </w:r>
          </w:p>
          <w:p w14:paraId="327CE7AE" w14:textId="77777777" w:rsidR="00F87E8A" w:rsidRPr="00AC4F20" w:rsidRDefault="00F87E8A" w:rsidP="00D63D72">
            <w:pPr>
              <w:rPr>
                <w:rFonts w:ascii="Arial" w:hAnsi="Arial"/>
              </w:rPr>
            </w:pPr>
          </w:p>
          <w:p w14:paraId="7CD0BD99" w14:textId="77777777" w:rsidR="00F87E8A" w:rsidRPr="00AC4F20" w:rsidRDefault="00F87E8A" w:rsidP="00D63D7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C4F20">
              <w:rPr>
                <w:rFonts w:ascii="Arial" w:hAnsi="Arial"/>
                <w:sz w:val="24"/>
                <w:szCs w:val="24"/>
              </w:rPr>
              <w:t>Consultation period ends.</w:t>
            </w:r>
          </w:p>
        </w:tc>
        <w:tc>
          <w:tcPr>
            <w:tcW w:w="2409" w:type="dxa"/>
          </w:tcPr>
          <w:p w14:paraId="6F068A0B" w14:textId="666CA085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  <w:r w:rsidRPr="00FC1C6C">
              <w:rPr>
                <w:rFonts w:ascii="Arial" w:hAnsi="Arial" w:cs="Arial"/>
              </w:rPr>
              <w:t>2</w:t>
            </w:r>
            <w:r w:rsidR="005B698F" w:rsidRPr="00FC1C6C">
              <w:rPr>
                <w:rFonts w:ascii="Arial" w:hAnsi="Arial" w:cs="Arial"/>
              </w:rPr>
              <w:t>9</w:t>
            </w:r>
            <w:r w:rsidRPr="00FC1C6C">
              <w:rPr>
                <w:rFonts w:ascii="Arial" w:hAnsi="Arial" w:cs="Arial"/>
              </w:rPr>
              <w:t xml:space="preserve"> October 2024</w:t>
            </w:r>
          </w:p>
          <w:p w14:paraId="68EAC4C0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118AE43A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18623CD2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0BC3FD2A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78D3E28F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73A791E4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7E94C119" w14:textId="77777777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</w:p>
          <w:p w14:paraId="2BC0E43A" w14:textId="3FD694D6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  <w:r w:rsidRPr="00FC1C6C">
              <w:rPr>
                <w:rFonts w:ascii="Arial" w:hAnsi="Arial" w:cs="Arial"/>
              </w:rPr>
              <w:t>1</w:t>
            </w:r>
            <w:r w:rsidR="00DB1C01" w:rsidRPr="00FC1C6C">
              <w:rPr>
                <w:rFonts w:ascii="Arial" w:hAnsi="Arial" w:cs="Arial"/>
              </w:rPr>
              <w:t>9</w:t>
            </w:r>
            <w:r w:rsidRPr="00FC1C6C">
              <w:rPr>
                <w:rFonts w:ascii="Arial" w:hAnsi="Arial" w:cs="Arial"/>
              </w:rPr>
              <w:t xml:space="preserve"> November 2024</w:t>
            </w:r>
          </w:p>
        </w:tc>
      </w:tr>
      <w:tr w:rsidR="00F87E8A" w14:paraId="38EF029D" w14:textId="77777777" w:rsidTr="00D63D72">
        <w:trPr>
          <w:trHeight w:val="696"/>
        </w:trPr>
        <w:tc>
          <w:tcPr>
            <w:tcW w:w="8080" w:type="dxa"/>
          </w:tcPr>
          <w:p w14:paraId="03851F7A" w14:textId="77777777" w:rsidR="00F87E8A" w:rsidRPr="006B0EA0" w:rsidRDefault="00F87E8A" w:rsidP="00D63D72">
            <w:pPr>
              <w:rPr>
                <w:rFonts w:ascii="Arial" w:hAnsi="Arial"/>
              </w:rPr>
            </w:pPr>
            <w:r w:rsidRPr="004B4F17">
              <w:rPr>
                <w:rFonts w:ascii="Arial" w:hAnsi="Arial"/>
              </w:rPr>
              <w:t xml:space="preserve">A further meeting of the Polling District Review Working Group to consider making recommendations to </w:t>
            </w:r>
            <w:r>
              <w:rPr>
                <w:rFonts w:ascii="Arial" w:hAnsi="Arial"/>
              </w:rPr>
              <w:t xml:space="preserve">a full meeting of the </w:t>
            </w:r>
            <w:r w:rsidRPr="004B4F17">
              <w:rPr>
                <w:rFonts w:ascii="Arial" w:hAnsi="Arial"/>
              </w:rPr>
              <w:t>Council for consideration.</w:t>
            </w:r>
          </w:p>
        </w:tc>
        <w:tc>
          <w:tcPr>
            <w:tcW w:w="2409" w:type="dxa"/>
          </w:tcPr>
          <w:p w14:paraId="25153069" w14:textId="41749BC3" w:rsidR="00F87E8A" w:rsidRPr="00FC1C6C" w:rsidRDefault="00F87E8A" w:rsidP="00D63D72">
            <w:pPr>
              <w:jc w:val="center"/>
              <w:rPr>
                <w:rFonts w:ascii="Arial" w:hAnsi="Arial" w:cs="Arial"/>
              </w:rPr>
            </w:pPr>
            <w:r w:rsidRPr="00FC1C6C">
              <w:rPr>
                <w:rFonts w:ascii="Arial" w:hAnsi="Arial" w:cs="Arial"/>
              </w:rPr>
              <w:t xml:space="preserve">2 </w:t>
            </w:r>
            <w:r w:rsidR="007426AF" w:rsidRPr="00FC1C6C">
              <w:rPr>
                <w:rFonts w:ascii="Arial" w:hAnsi="Arial" w:cs="Arial"/>
              </w:rPr>
              <w:t>December</w:t>
            </w:r>
            <w:r w:rsidRPr="00FC1C6C">
              <w:rPr>
                <w:rFonts w:ascii="Arial" w:hAnsi="Arial" w:cs="Arial"/>
              </w:rPr>
              <w:t xml:space="preserve"> 2024</w:t>
            </w:r>
          </w:p>
        </w:tc>
      </w:tr>
      <w:tr w:rsidR="00F87E8A" w14:paraId="59CF2065" w14:textId="77777777" w:rsidTr="00D63D72">
        <w:trPr>
          <w:trHeight w:val="423"/>
        </w:trPr>
        <w:tc>
          <w:tcPr>
            <w:tcW w:w="8080" w:type="dxa"/>
          </w:tcPr>
          <w:p w14:paraId="44440C0A" w14:textId="77777777" w:rsidR="00F87E8A" w:rsidRPr="004B4F17" w:rsidRDefault="00F87E8A" w:rsidP="00D63D7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Despatch of agenda for full meeting of the </w:t>
            </w:r>
            <w:r w:rsidRPr="004B4F17">
              <w:rPr>
                <w:rFonts w:ascii="Arial" w:hAnsi="Arial"/>
              </w:rPr>
              <w:t>Counci</w:t>
            </w:r>
            <w:r>
              <w:rPr>
                <w:rFonts w:ascii="Arial" w:hAnsi="Arial"/>
              </w:rPr>
              <w:t>l.</w:t>
            </w:r>
          </w:p>
        </w:tc>
        <w:tc>
          <w:tcPr>
            <w:tcW w:w="2409" w:type="dxa"/>
          </w:tcPr>
          <w:p w14:paraId="018EAEA8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January 2025</w:t>
            </w:r>
          </w:p>
        </w:tc>
      </w:tr>
      <w:tr w:rsidR="00F87E8A" w14:paraId="3B056345" w14:textId="77777777" w:rsidTr="00D63D72">
        <w:trPr>
          <w:trHeight w:val="698"/>
        </w:trPr>
        <w:tc>
          <w:tcPr>
            <w:tcW w:w="8080" w:type="dxa"/>
          </w:tcPr>
          <w:p w14:paraId="7A1AB9D3" w14:textId="77777777" w:rsidR="00F87E8A" w:rsidRPr="004B4F17" w:rsidRDefault="00F87E8A" w:rsidP="00D63D72">
            <w:pPr>
              <w:tabs>
                <w:tab w:val="left" w:pos="2181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Full meeting of the Council to consider proposals.</w:t>
            </w:r>
          </w:p>
        </w:tc>
        <w:tc>
          <w:tcPr>
            <w:tcW w:w="2409" w:type="dxa"/>
          </w:tcPr>
          <w:p w14:paraId="6E57D7F9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January 2025</w:t>
            </w:r>
          </w:p>
        </w:tc>
      </w:tr>
      <w:tr w:rsidR="00F87E8A" w14:paraId="5E92B115" w14:textId="77777777" w:rsidTr="00D63D72">
        <w:trPr>
          <w:trHeight w:val="708"/>
        </w:trPr>
        <w:tc>
          <w:tcPr>
            <w:tcW w:w="8080" w:type="dxa"/>
          </w:tcPr>
          <w:p w14:paraId="58BE12A0" w14:textId="77777777" w:rsidR="00F87E8A" w:rsidRPr="004B4F17" w:rsidRDefault="00F87E8A" w:rsidP="00D63D72">
            <w:pPr>
              <w:rPr>
                <w:rFonts w:ascii="Arial" w:hAnsi="Arial" w:cs="Arial"/>
              </w:rPr>
            </w:pPr>
            <w:r w:rsidRPr="004B4F17">
              <w:rPr>
                <w:rFonts w:ascii="Arial" w:hAnsi="Arial"/>
              </w:rPr>
              <w:t xml:space="preserve">Amendments to Electoral </w:t>
            </w:r>
            <w:r>
              <w:rPr>
                <w:rFonts w:ascii="Arial" w:hAnsi="Arial"/>
              </w:rPr>
              <w:t>R</w:t>
            </w:r>
            <w:r w:rsidRPr="004B4F17">
              <w:rPr>
                <w:rFonts w:ascii="Arial" w:hAnsi="Arial"/>
              </w:rPr>
              <w:t>egister arising from the review to be published.</w:t>
            </w:r>
          </w:p>
        </w:tc>
        <w:tc>
          <w:tcPr>
            <w:tcW w:w="2409" w:type="dxa"/>
          </w:tcPr>
          <w:p w14:paraId="0EDD65AF" w14:textId="77777777" w:rsidR="00F87E8A" w:rsidRDefault="00F87E8A" w:rsidP="00D63D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February 2025</w:t>
            </w:r>
          </w:p>
        </w:tc>
      </w:tr>
    </w:tbl>
    <w:p w14:paraId="76371720" w14:textId="77777777" w:rsidR="006B3E49" w:rsidRPr="00C50765" w:rsidRDefault="006B3E49" w:rsidP="00E24B7F">
      <w:pPr>
        <w:rPr>
          <w:rFonts w:ascii="Arial" w:hAnsi="Arial" w:cs="Arial"/>
          <w:bCs/>
        </w:rPr>
      </w:pPr>
    </w:p>
    <w:sectPr w:rsidR="006B3E49" w:rsidRPr="00C50765" w:rsidSect="00E24B7F">
      <w:headerReference w:type="default" r:id="rId11"/>
      <w:pgSz w:w="11906" w:h="16838"/>
      <w:pgMar w:top="1440" w:right="1558" w:bottom="113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8270" w14:textId="77777777" w:rsidR="00466875" w:rsidRDefault="00466875">
      <w:r>
        <w:separator/>
      </w:r>
    </w:p>
  </w:endnote>
  <w:endnote w:type="continuationSeparator" w:id="0">
    <w:p w14:paraId="40BF086C" w14:textId="77777777" w:rsidR="00466875" w:rsidRDefault="00466875">
      <w:r>
        <w:continuationSeparator/>
      </w:r>
    </w:p>
  </w:endnote>
  <w:endnote w:type="continuationNotice" w:id="1">
    <w:p w14:paraId="1ACE97F7" w14:textId="77777777" w:rsidR="00466875" w:rsidRDefault="00466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B435" w14:textId="77777777" w:rsidR="00466875" w:rsidRDefault="00466875">
      <w:r>
        <w:separator/>
      </w:r>
    </w:p>
  </w:footnote>
  <w:footnote w:type="continuationSeparator" w:id="0">
    <w:p w14:paraId="5999D351" w14:textId="77777777" w:rsidR="00466875" w:rsidRDefault="00466875">
      <w:r>
        <w:continuationSeparator/>
      </w:r>
    </w:p>
  </w:footnote>
  <w:footnote w:type="continuationNotice" w:id="1">
    <w:p w14:paraId="04CA2264" w14:textId="77777777" w:rsidR="00466875" w:rsidRDefault="00466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20BC" w14:textId="77777777" w:rsidR="00E24B7F" w:rsidRPr="008F7009" w:rsidRDefault="00E24B7F" w:rsidP="00E24B7F">
    <w:pPr>
      <w:autoSpaceDE w:val="0"/>
      <w:autoSpaceDN w:val="0"/>
      <w:adjustRightInd w:val="0"/>
      <w:jc w:val="center"/>
      <w:rPr>
        <w:rFonts w:ascii="Arial" w:hAnsi="Arial" w:cs="Arial"/>
      </w:rPr>
    </w:pPr>
    <w:r>
      <w:rPr>
        <w:rFonts w:ascii="Arial" w:hAnsi="Arial" w:cs="Arial"/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9C8C0" wp14:editId="229762B7">
              <wp:simplePos x="0" y="0"/>
              <wp:positionH relativeFrom="column">
                <wp:posOffset>4802505</wp:posOffset>
              </wp:positionH>
              <wp:positionV relativeFrom="paragraph">
                <wp:posOffset>-242570</wp:posOffset>
              </wp:positionV>
              <wp:extent cx="1491049" cy="387178"/>
              <wp:effectExtent l="0" t="0" r="0" b="0"/>
              <wp:wrapNone/>
              <wp:docPr id="9468063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1049" cy="387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CD177E" w14:textId="404DAF27" w:rsidR="00E24B7F" w:rsidRPr="008F7009" w:rsidRDefault="00E24B7F" w:rsidP="00E24B7F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9C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15pt;margin-top:-19.1pt;width:117.4pt;height:3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" fillcolor="white [3201]" stroked="f" strokeweight=".5pt">
              <v:textbox>
                <w:txbxContent>
                  <w:p w14:paraId="20CD177E" w14:textId="404DAF27" w:rsidR="00E24B7F" w:rsidRPr="008F7009" w:rsidRDefault="00E24B7F" w:rsidP="00E24B7F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u w:val="single"/>
      </w:rPr>
      <w:t>TIMETABLE FOR THE REVIEW</w:t>
    </w:r>
  </w:p>
  <w:p w14:paraId="43333C2A" w14:textId="77777777" w:rsidR="00E24B7F" w:rsidRPr="006060BE" w:rsidRDefault="00E24B7F" w:rsidP="008745AF">
    <w:pPr>
      <w:pStyle w:val="Header"/>
      <w:tabs>
        <w:tab w:val="clear" w:pos="4513"/>
        <w:tab w:val="clear" w:pos="9026"/>
      </w:tabs>
      <w:ind w:right="225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115"/>
    <w:multiLevelType w:val="hybridMultilevel"/>
    <w:tmpl w:val="BA4A60D4"/>
    <w:lvl w:ilvl="0" w:tplc="8C38D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9D"/>
    <w:multiLevelType w:val="hybridMultilevel"/>
    <w:tmpl w:val="56DA791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6507E"/>
    <w:multiLevelType w:val="hybridMultilevel"/>
    <w:tmpl w:val="157A2B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EF6356"/>
    <w:multiLevelType w:val="multilevel"/>
    <w:tmpl w:val="49C0A7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FD4210"/>
    <w:multiLevelType w:val="hybridMultilevel"/>
    <w:tmpl w:val="54408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4A8"/>
    <w:multiLevelType w:val="hybridMultilevel"/>
    <w:tmpl w:val="6D98DFEC"/>
    <w:lvl w:ilvl="0" w:tplc="5BBEE880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85F32"/>
    <w:multiLevelType w:val="hybridMultilevel"/>
    <w:tmpl w:val="AEF6AF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5464"/>
    <w:multiLevelType w:val="hybridMultilevel"/>
    <w:tmpl w:val="B002B0B8"/>
    <w:lvl w:ilvl="0" w:tplc="5BBEE880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39AA"/>
    <w:multiLevelType w:val="hybridMultilevel"/>
    <w:tmpl w:val="E812A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92B4F"/>
    <w:multiLevelType w:val="hybridMultilevel"/>
    <w:tmpl w:val="EA60FB42"/>
    <w:lvl w:ilvl="0" w:tplc="0CEADF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A821CB"/>
    <w:multiLevelType w:val="hybridMultilevel"/>
    <w:tmpl w:val="2B98D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7FBC"/>
    <w:multiLevelType w:val="hybridMultilevel"/>
    <w:tmpl w:val="FC2CDCF6"/>
    <w:lvl w:ilvl="0" w:tplc="5BBEE880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81573"/>
    <w:multiLevelType w:val="hybridMultilevel"/>
    <w:tmpl w:val="9AB209DA"/>
    <w:lvl w:ilvl="0" w:tplc="E6C8145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33D2"/>
    <w:multiLevelType w:val="hybridMultilevel"/>
    <w:tmpl w:val="ADF06E4E"/>
    <w:lvl w:ilvl="0" w:tplc="DE5065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7E30"/>
    <w:multiLevelType w:val="hybridMultilevel"/>
    <w:tmpl w:val="AFA6259E"/>
    <w:lvl w:ilvl="0" w:tplc="5BBEE880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BEA0367"/>
    <w:multiLevelType w:val="hybridMultilevel"/>
    <w:tmpl w:val="4EE2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15D22"/>
    <w:multiLevelType w:val="hybridMultilevel"/>
    <w:tmpl w:val="67B402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54708B"/>
    <w:multiLevelType w:val="hybridMultilevel"/>
    <w:tmpl w:val="2A0086C2"/>
    <w:lvl w:ilvl="0" w:tplc="E4040F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70229"/>
    <w:multiLevelType w:val="hybridMultilevel"/>
    <w:tmpl w:val="6F04812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915A2"/>
    <w:multiLevelType w:val="hybridMultilevel"/>
    <w:tmpl w:val="4030DE16"/>
    <w:lvl w:ilvl="0" w:tplc="5BBEE880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6586E"/>
    <w:multiLevelType w:val="hybridMultilevel"/>
    <w:tmpl w:val="B11AE268"/>
    <w:lvl w:ilvl="0" w:tplc="F1F4A42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B381E"/>
    <w:multiLevelType w:val="hybridMultilevel"/>
    <w:tmpl w:val="7FB48AC2"/>
    <w:lvl w:ilvl="0" w:tplc="0CF0C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67D82"/>
    <w:multiLevelType w:val="multilevel"/>
    <w:tmpl w:val="5EBA5BB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55F31BF"/>
    <w:multiLevelType w:val="hybridMultilevel"/>
    <w:tmpl w:val="BAC6CF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DE4A2A"/>
    <w:multiLevelType w:val="hybridMultilevel"/>
    <w:tmpl w:val="93049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53A3F"/>
    <w:multiLevelType w:val="hybridMultilevel"/>
    <w:tmpl w:val="71B0E5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119D6"/>
    <w:multiLevelType w:val="hybridMultilevel"/>
    <w:tmpl w:val="B81A5290"/>
    <w:lvl w:ilvl="0" w:tplc="E668A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7461"/>
    <w:multiLevelType w:val="hybridMultilevel"/>
    <w:tmpl w:val="D2E2BB90"/>
    <w:lvl w:ilvl="0" w:tplc="166A501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B1FF7"/>
    <w:multiLevelType w:val="hybridMultilevel"/>
    <w:tmpl w:val="0596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D2EE7"/>
    <w:multiLevelType w:val="hybridMultilevel"/>
    <w:tmpl w:val="324263F4"/>
    <w:lvl w:ilvl="0" w:tplc="EA82283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B38FC"/>
    <w:multiLevelType w:val="hybridMultilevel"/>
    <w:tmpl w:val="AD5400CA"/>
    <w:lvl w:ilvl="0" w:tplc="5BBEE880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14987">
    <w:abstractNumId w:val="1"/>
  </w:num>
  <w:num w:numId="2" w16cid:durableId="1571497930">
    <w:abstractNumId w:val="10"/>
  </w:num>
  <w:num w:numId="3" w16cid:durableId="873006116">
    <w:abstractNumId w:val="25"/>
  </w:num>
  <w:num w:numId="4" w16cid:durableId="1721439840">
    <w:abstractNumId w:val="6"/>
  </w:num>
  <w:num w:numId="5" w16cid:durableId="1554804249">
    <w:abstractNumId w:val="16"/>
  </w:num>
  <w:num w:numId="6" w16cid:durableId="1074623022">
    <w:abstractNumId w:val="5"/>
  </w:num>
  <w:num w:numId="7" w16cid:durableId="1235776173">
    <w:abstractNumId w:val="30"/>
  </w:num>
  <w:num w:numId="8" w16cid:durableId="793403323">
    <w:abstractNumId w:val="11"/>
  </w:num>
  <w:num w:numId="9" w16cid:durableId="335964375">
    <w:abstractNumId w:val="19"/>
  </w:num>
  <w:num w:numId="10" w16cid:durableId="1925066770">
    <w:abstractNumId w:val="7"/>
  </w:num>
  <w:num w:numId="11" w16cid:durableId="1229849823">
    <w:abstractNumId w:val="14"/>
  </w:num>
  <w:num w:numId="12" w16cid:durableId="801506301">
    <w:abstractNumId w:val="22"/>
  </w:num>
  <w:num w:numId="13" w16cid:durableId="1660420097">
    <w:abstractNumId w:val="8"/>
  </w:num>
  <w:num w:numId="14" w16cid:durableId="2046707885">
    <w:abstractNumId w:val="0"/>
  </w:num>
  <w:num w:numId="15" w16cid:durableId="2129813808">
    <w:abstractNumId w:val="26"/>
  </w:num>
  <w:num w:numId="16" w16cid:durableId="1761483338">
    <w:abstractNumId w:val="3"/>
  </w:num>
  <w:num w:numId="17" w16cid:durableId="604307929">
    <w:abstractNumId w:val="27"/>
  </w:num>
  <w:num w:numId="18" w16cid:durableId="33502577">
    <w:abstractNumId w:val="2"/>
  </w:num>
  <w:num w:numId="19" w16cid:durableId="1227572925">
    <w:abstractNumId w:val="23"/>
  </w:num>
  <w:num w:numId="20" w16cid:durableId="215510392">
    <w:abstractNumId w:val="18"/>
  </w:num>
  <w:num w:numId="21" w16cid:durableId="1777287805">
    <w:abstractNumId w:val="20"/>
  </w:num>
  <w:num w:numId="22" w16cid:durableId="1336493508">
    <w:abstractNumId w:val="4"/>
  </w:num>
  <w:num w:numId="23" w16cid:durableId="1053624416">
    <w:abstractNumId w:val="12"/>
  </w:num>
  <w:num w:numId="24" w16cid:durableId="263341313">
    <w:abstractNumId w:val="29"/>
  </w:num>
  <w:num w:numId="25" w16cid:durableId="753432853">
    <w:abstractNumId w:val="28"/>
  </w:num>
  <w:num w:numId="26" w16cid:durableId="1017924692">
    <w:abstractNumId w:val="13"/>
  </w:num>
  <w:num w:numId="27" w16cid:durableId="672227453">
    <w:abstractNumId w:val="17"/>
  </w:num>
  <w:num w:numId="28" w16cid:durableId="672269235">
    <w:abstractNumId w:val="21"/>
  </w:num>
  <w:num w:numId="29" w16cid:durableId="1595288710">
    <w:abstractNumId w:val="24"/>
  </w:num>
  <w:num w:numId="30" w16cid:durableId="1884514687">
    <w:abstractNumId w:val="9"/>
  </w:num>
  <w:num w:numId="31" w16cid:durableId="1388724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51"/>
    <w:rsid w:val="0000325F"/>
    <w:rsid w:val="000066A6"/>
    <w:rsid w:val="00011BFF"/>
    <w:rsid w:val="00015036"/>
    <w:rsid w:val="000360CE"/>
    <w:rsid w:val="00047994"/>
    <w:rsid w:val="00061DD5"/>
    <w:rsid w:val="00073061"/>
    <w:rsid w:val="00073C4C"/>
    <w:rsid w:val="00075541"/>
    <w:rsid w:val="00076C7D"/>
    <w:rsid w:val="0007780B"/>
    <w:rsid w:val="0009745E"/>
    <w:rsid w:val="000A37D9"/>
    <w:rsid w:val="000A59CE"/>
    <w:rsid w:val="000B4A1E"/>
    <w:rsid w:val="000B7371"/>
    <w:rsid w:val="000C0454"/>
    <w:rsid w:val="000C1463"/>
    <w:rsid w:val="000C1708"/>
    <w:rsid w:val="000C77B1"/>
    <w:rsid w:val="000D516B"/>
    <w:rsid w:val="000E2F7D"/>
    <w:rsid w:val="000E7957"/>
    <w:rsid w:val="000F1D2D"/>
    <w:rsid w:val="000F252B"/>
    <w:rsid w:val="000F7089"/>
    <w:rsid w:val="00100BDE"/>
    <w:rsid w:val="00101505"/>
    <w:rsid w:val="001106CB"/>
    <w:rsid w:val="00113A05"/>
    <w:rsid w:val="001200BB"/>
    <w:rsid w:val="00127A5D"/>
    <w:rsid w:val="00136B3D"/>
    <w:rsid w:val="00151EB8"/>
    <w:rsid w:val="0016072D"/>
    <w:rsid w:val="001615FD"/>
    <w:rsid w:val="00165260"/>
    <w:rsid w:val="00165FBB"/>
    <w:rsid w:val="00166334"/>
    <w:rsid w:val="00170870"/>
    <w:rsid w:val="00172778"/>
    <w:rsid w:val="00175198"/>
    <w:rsid w:val="001A1ECA"/>
    <w:rsid w:val="001A549C"/>
    <w:rsid w:val="001A679A"/>
    <w:rsid w:val="001B2030"/>
    <w:rsid w:val="001C0B0E"/>
    <w:rsid w:val="001D5E25"/>
    <w:rsid w:val="00200ADE"/>
    <w:rsid w:val="00207BC6"/>
    <w:rsid w:val="00213660"/>
    <w:rsid w:val="00221BA4"/>
    <w:rsid w:val="0022581A"/>
    <w:rsid w:val="00226880"/>
    <w:rsid w:val="00232C8B"/>
    <w:rsid w:val="002334F9"/>
    <w:rsid w:val="00233E39"/>
    <w:rsid w:val="00237026"/>
    <w:rsid w:val="00256B07"/>
    <w:rsid w:val="00263D6A"/>
    <w:rsid w:val="00265E7F"/>
    <w:rsid w:val="002660BB"/>
    <w:rsid w:val="00266B9B"/>
    <w:rsid w:val="0027279E"/>
    <w:rsid w:val="00275415"/>
    <w:rsid w:val="00287FBF"/>
    <w:rsid w:val="00290B84"/>
    <w:rsid w:val="00296EC9"/>
    <w:rsid w:val="002A0DA2"/>
    <w:rsid w:val="002A4F83"/>
    <w:rsid w:val="002A548B"/>
    <w:rsid w:val="002B48CD"/>
    <w:rsid w:val="002C0039"/>
    <w:rsid w:val="002E7333"/>
    <w:rsid w:val="002F1128"/>
    <w:rsid w:val="002F2AB6"/>
    <w:rsid w:val="002F2DB6"/>
    <w:rsid w:val="002F6F93"/>
    <w:rsid w:val="002F7DA7"/>
    <w:rsid w:val="003039CA"/>
    <w:rsid w:val="00306D6E"/>
    <w:rsid w:val="003103A8"/>
    <w:rsid w:val="00317E7B"/>
    <w:rsid w:val="0032711C"/>
    <w:rsid w:val="00327A4D"/>
    <w:rsid w:val="003335F2"/>
    <w:rsid w:val="0033640E"/>
    <w:rsid w:val="00336957"/>
    <w:rsid w:val="00336E85"/>
    <w:rsid w:val="00341DA2"/>
    <w:rsid w:val="0035586C"/>
    <w:rsid w:val="00356B8B"/>
    <w:rsid w:val="003661C7"/>
    <w:rsid w:val="0036652C"/>
    <w:rsid w:val="00376536"/>
    <w:rsid w:val="003765F1"/>
    <w:rsid w:val="0038169D"/>
    <w:rsid w:val="003A0143"/>
    <w:rsid w:val="003A02E3"/>
    <w:rsid w:val="003A15C7"/>
    <w:rsid w:val="003D4CFA"/>
    <w:rsid w:val="003E33B7"/>
    <w:rsid w:val="003E45F7"/>
    <w:rsid w:val="003F2AE0"/>
    <w:rsid w:val="003F4948"/>
    <w:rsid w:val="00413149"/>
    <w:rsid w:val="0041496B"/>
    <w:rsid w:val="004155FB"/>
    <w:rsid w:val="00415F66"/>
    <w:rsid w:val="00417A50"/>
    <w:rsid w:val="004204AB"/>
    <w:rsid w:val="00431EE9"/>
    <w:rsid w:val="004428DC"/>
    <w:rsid w:val="00444B6C"/>
    <w:rsid w:val="0045013C"/>
    <w:rsid w:val="00462EF3"/>
    <w:rsid w:val="00466875"/>
    <w:rsid w:val="0047206D"/>
    <w:rsid w:val="004749E5"/>
    <w:rsid w:val="0048056B"/>
    <w:rsid w:val="00481BFF"/>
    <w:rsid w:val="004A2845"/>
    <w:rsid w:val="004B1447"/>
    <w:rsid w:val="004B59A6"/>
    <w:rsid w:val="004C1C89"/>
    <w:rsid w:val="004C1E68"/>
    <w:rsid w:val="004C6704"/>
    <w:rsid w:val="004C796C"/>
    <w:rsid w:val="004C7CF2"/>
    <w:rsid w:val="004D3A49"/>
    <w:rsid w:val="004F1960"/>
    <w:rsid w:val="004F41F2"/>
    <w:rsid w:val="004F599B"/>
    <w:rsid w:val="005009C1"/>
    <w:rsid w:val="005127F0"/>
    <w:rsid w:val="00514577"/>
    <w:rsid w:val="005166F4"/>
    <w:rsid w:val="00521FD9"/>
    <w:rsid w:val="00524C59"/>
    <w:rsid w:val="00531D3D"/>
    <w:rsid w:val="00540D4F"/>
    <w:rsid w:val="00546E6B"/>
    <w:rsid w:val="00557006"/>
    <w:rsid w:val="005578F0"/>
    <w:rsid w:val="00584111"/>
    <w:rsid w:val="005B0181"/>
    <w:rsid w:val="005B6809"/>
    <w:rsid w:val="005B698F"/>
    <w:rsid w:val="005C109D"/>
    <w:rsid w:val="005C61FC"/>
    <w:rsid w:val="005D58D5"/>
    <w:rsid w:val="005D72CA"/>
    <w:rsid w:val="005E00AC"/>
    <w:rsid w:val="005E0E66"/>
    <w:rsid w:val="005E2FF4"/>
    <w:rsid w:val="005E5158"/>
    <w:rsid w:val="005F52E3"/>
    <w:rsid w:val="005F6CB5"/>
    <w:rsid w:val="00605336"/>
    <w:rsid w:val="006060BE"/>
    <w:rsid w:val="00606115"/>
    <w:rsid w:val="00606777"/>
    <w:rsid w:val="00615E0D"/>
    <w:rsid w:val="006253BA"/>
    <w:rsid w:val="00655195"/>
    <w:rsid w:val="0066754C"/>
    <w:rsid w:val="00673A4C"/>
    <w:rsid w:val="006824E6"/>
    <w:rsid w:val="0068366C"/>
    <w:rsid w:val="006846E9"/>
    <w:rsid w:val="00686FE3"/>
    <w:rsid w:val="006A008F"/>
    <w:rsid w:val="006A7083"/>
    <w:rsid w:val="006B0EA0"/>
    <w:rsid w:val="006B3E49"/>
    <w:rsid w:val="006C6FF4"/>
    <w:rsid w:val="006D0954"/>
    <w:rsid w:val="006E7C40"/>
    <w:rsid w:val="006F06D7"/>
    <w:rsid w:val="00712A37"/>
    <w:rsid w:val="007173DD"/>
    <w:rsid w:val="007243BB"/>
    <w:rsid w:val="0073657E"/>
    <w:rsid w:val="007402CB"/>
    <w:rsid w:val="007426AF"/>
    <w:rsid w:val="007437F8"/>
    <w:rsid w:val="00743AED"/>
    <w:rsid w:val="007466CB"/>
    <w:rsid w:val="00747698"/>
    <w:rsid w:val="007478C9"/>
    <w:rsid w:val="00752992"/>
    <w:rsid w:val="00756532"/>
    <w:rsid w:val="007613FA"/>
    <w:rsid w:val="0076218B"/>
    <w:rsid w:val="0077538B"/>
    <w:rsid w:val="007863F4"/>
    <w:rsid w:val="0079435E"/>
    <w:rsid w:val="00797E7A"/>
    <w:rsid w:val="007A12AB"/>
    <w:rsid w:val="007A648A"/>
    <w:rsid w:val="007B3CC7"/>
    <w:rsid w:val="007C6C98"/>
    <w:rsid w:val="007D25D4"/>
    <w:rsid w:val="007E77F5"/>
    <w:rsid w:val="008018DB"/>
    <w:rsid w:val="008136AB"/>
    <w:rsid w:val="00815514"/>
    <w:rsid w:val="0082302B"/>
    <w:rsid w:val="00825A6B"/>
    <w:rsid w:val="00825EFF"/>
    <w:rsid w:val="00842752"/>
    <w:rsid w:val="00845BA7"/>
    <w:rsid w:val="00846BBF"/>
    <w:rsid w:val="008634F2"/>
    <w:rsid w:val="00867F7A"/>
    <w:rsid w:val="00871887"/>
    <w:rsid w:val="00874398"/>
    <w:rsid w:val="008745AF"/>
    <w:rsid w:val="0087674B"/>
    <w:rsid w:val="008934D3"/>
    <w:rsid w:val="00893C10"/>
    <w:rsid w:val="00896435"/>
    <w:rsid w:val="008A6E53"/>
    <w:rsid w:val="008B359C"/>
    <w:rsid w:val="008B51CD"/>
    <w:rsid w:val="008C216E"/>
    <w:rsid w:val="008D3A27"/>
    <w:rsid w:val="008D4315"/>
    <w:rsid w:val="008D66E0"/>
    <w:rsid w:val="008E0C1B"/>
    <w:rsid w:val="008F7009"/>
    <w:rsid w:val="00901356"/>
    <w:rsid w:val="00901BB9"/>
    <w:rsid w:val="00904FA2"/>
    <w:rsid w:val="009074D3"/>
    <w:rsid w:val="00960F2A"/>
    <w:rsid w:val="00963A89"/>
    <w:rsid w:val="009650F0"/>
    <w:rsid w:val="0096645F"/>
    <w:rsid w:val="009666A2"/>
    <w:rsid w:val="00985082"/>
    <w:rsid w:val="00985785"/>
    <w:rsid w:val="009941E7"/>
    <w:rsid w:val="009D3DC6"/>
    <w:rsid w:val="009E3E8B"/>
    <w:rsid w:val="009E6D09"/>
    <w:rsid w:val="009F1F57"/>
    <w:rsid w:val="009F6546"/>
    <w:rsid w:val="009F703A"/>
    <w:rsid w:val="009F7051"/>
    <w:rsid w:val="00A02885"/>
    <w:rsid w:val="00A076AF"/>
    <w:rsid w:val="00A079D6"/>
    <w:rsid w:val="00A14029"/>
    <w:rsid w:val="00A21E07"/>
    <w:rsid w:val="00A240BD"/>
    <w:rsid w:val="00A40A7C"/>
    <w:rsid w:val="00A42A74"/>
    <w:rsid w:val="00A45088"/>
    <w:rsid w:val="00A54473"/>
    <w:rsid w:val="00A62728"/>
    <w:rsid w:val="00A647CE"/>
    <w:rsid w:val="00A64C94"/>
    <w:rsid w:val="00A7617D"/>
    <w:rsid w:val="00A77162"/>
    <w:rsid w:val="00A81E0C"/>
    <w:rsid w:val="00A970AA"/>
    <w:rsid w:val="00AA1E1C"/>
    <w:rsid w:val="00AA5E2D"/>
    <w:rsid w:val="00AA6FBB"/>
    <w:rsid w:val="00AB02A0"/>
    <w:rsid w:val="00AB0DD3"/>
    <w:rsid w:val="00AC0327"/>
    <w:rsid w:val="00AC2A55"/>
    <w:rsid w:val="00AC4F20"/>
    <w:rsid w:val="00AD6267"/>
    <w:rsid w:val="00AF0B5D"/>
    <w:rsid w:val="00AF7617"/>
    <w:rsid w:val="00AF79C1"/>
    <w:rsid w:val="00B04F78"/>
    <w:rsid w:val="00B20648"/>
    <w:rsid w:val="00B41715"/>
    <w:rsid w:val="00B47220"/>
    <w:rsid w:val="00B60D7C"/>
    <w:rsid w:val="00B629B2"/>
    <w:rsid w:val="00B71821"/>
    <w:rsid w:val="00B77124"/>
    <w:rsid w:val="00B803E8"/>
    <w:rsid w:val="00B82714"/>
    <w:rsid w:val="00B84E6D"/>
    <w:rsid w:val="00B84FE8"/>
    <w:rsid w:val="00B93C74"/>
    <w:rsid w:val="00B949CB"/>
    <w:rsid w:val="00B9581B"/>
    <w:rsid w:val="00BA042A"/>
    <w:rsid w:val="00BB2C7E"/>
    <w:rsid w:val="00BB3912"/>
    <w:rsid w:val="00BC2A8C"/>
    <w:rsid w:val="00BC3633"/>
    <w:rsid w:val="00BD1E34"/>
    <w:rsid w:val="00BD4196"/>
    <w:rsid w:val="00BE1588"/>
    <w:rsid w:val="00BE3424"/>
    <w:rsid w:val="00BE451D"/>
    <w:rsid w:val="00BE5C2B"/>
    <w:rsid w:val="00BF2DE0"/>
    <w:rsid w:val="00BF666D"/>
    <w:rsid w:val="00C0546C"/>
    <w:rsid w:val="00C05F62"/>
    <w:rsid w:val="00C06367"/>
    <w:rsid w:val="00C11227"/>
    <w:rsid w:val="00C228A0"/>
    <w:rsid w:val="00C25D04"/>
    <w:rsid w:val="00C41A79"/>
    <w:rsid w:val="00C43BB9"/>
    <w:rsid w:val="00C502C7"/>
    <w:rsid w:val="00C50765"/>
    <w:rsid w:val="00C5585E"/>
    <w:rsid w:val="00C60C92"/>
    <w:rsid w:val="00C639FC"/>
    <w:rsid w:val="00C64297"/>
    <w:rsid w:val="00C72F02"/>
    <w:rsid w:val="00C777D0"/>
    <w:rsid w:val="00C80775"/>
    <w:rsid w:val="00C8599C"/>
    <w:rsid w:val="00C87E2E"/>
    <w:rsid w:val="00C93F22"/>
    <w:rsid w:val="00CA23B9"/>
    <w:rsid w:val="00CA25EB"/>
    <w:rsid w:val="00CA2E49"/>
    <w:rsid w:val="00CB67D4"/>
    <w:rsid w:val="00CC0020"/>
    <w:rsid w:val="00CC04E0"/>
    <w:rsid w:val="00CC484F"/>
    <w:rsid w:val="00CD14BF"/>
    <w:rsid w:val="00CF1F61"/>
    <w:rsid w:val="00D00E03"/>
    <w:rsid w:val="00D156FB"/>
    <w:rsid w:val="00D1644F"/>
    <w:rsid w:val="00D27DDC"/>
    <w:rsid w:val="00D30254"/>
    <w:rsid w:val="00D31477"/>
    <w:rsid w:val="00D4274A"/>
    <w:rsid w:val="00D4736C"/>
    <w:rsid w:val="00D57DCA"/>
    <w:rsid w:val="00D65E54"/>
    <w:rsid w:val="00D66BC6"/>
    <w:rsid w:val="00D67DA7"/>
    <w:rsid w:val="00D716B5"/>
    <w:rsid w:val="00D82F2E"/>
    <w:rsid w:val="00D8365B"/>
    <w:rsid w:val="00D857A2"/>
    <w:rsid w:val="00D87593"/>
    <w:rsid w:val="00D875F4"/>
    <w:rsid w:val="00D95482"/>
    <w:rsid w:val="00DA1F8D"/>
    <w:rsid w:val="00DA7463"/>
    <w:rsid w:val="00DB0455"/>
    <w:rsid w:val="00DB16B2"/>
    <w:rsid w:val="00DB1C01"/>
    <w:rsid w:val="00DB46A0"/>
    <w:rsid w:val="00DC0B86"/>
    <w:rsid w:val="00DD407C"/>
    <w:rsid w:val="00DD4A67"/>
    <w:rsid w:val="00DD4F58"/>
    <w:rsid w:val="00DD6F4E"/>
    <w:rsid w:val="00DE1CCF"/>
    <w:rsid w:val="00DF0092"/>
    <w:rsid w:val="00DF7CA0"/>
    <w:rsid w:val="00E07DE4"/>
    <w:rsid w:val="00E1074A"/>
    <w:rsid w:val="00E13F67"/>
    <w:rsid w:val="00E22404"/>
    <w:rsid w:val="00E24B58"/>
    <w:rsid w:val="00E24B7F"/>
    <w:rsid w:val="00E375D5"/>
    <w:rsid w:val="00E46919"/>
    <w:rsid w:val="00E519CF"/>
    <w:rsid w:val="00E55803"/>
    <w:rsid w:val="00E5625F"/>
    <w:rsid w:val="00E6111E"/>
    <w:rsid w:val="00E643A2"/>
    <w:rsid w:val="00E7129B"/>
    <w:rsid w:val="00E7375F"/>
    <w:rsid w:val="00E76785"/>
    <w:rsid w:val="00E8591A"/>
    <w:rsid w:val="00E86E47"/>
    <w:rsid w:val="00E954CD"/>
    <w:rsid w:val="00EA6890"/>
    <w:rsid w:val="00EB68D0"/>
    <w:rsid w:val="00EC4899"/>
    <w:rsid w:val="00EC5A73"/>
    <w:rsid w:val="00ED7845"/>
    <w:rsid w:val="00EE64AD"/>
    <w:rsid w:val="00EF6CB6"/>
    <w:rsid w:val="00EF7170"/>
    <w:rsid w:val="00F142A6"/>
    <w:rsid w:val="00F24DC1"/>
    <w:rsid w:val="00F2516D"/>
    <w:rsid w:val="00F26BBC"/>
    <w:rsid w:val="00F27C18"/>
    <w:rsid w:val="00F416BB"/>
    <w:rsid w:val="00F46BF8"/>
    <w:rsid w:val="00F5330E"/>
    <w:rsid w:val="00F5751B"/>
    <w:rsid w:val="00F577C8"/>
    <w:rsid w:val="00F757E7"/>
    <w:rsid w:val="00F757F1"/>
    <w:rsid w:val="00F77786"/>
    <w:rsid w:val="00F816E5"/>
    <w:rsid w:val="00F8196F"/>
    <w:rsid w:val="00F82AFD"/>
    <w:rsid w:val="00F84AB1"/>
    <w:rsid w:val="00F87E8A"/>
    <w:rsid w:val="00F919A0"/>
    <w:rsid w:val="00F9458D"/>
    <w:rsid w:val="00FA461B"/>
    <w:rsid w:val="00FB0B24"/>
    <w:rsid w:val="00FB3392"/>
    <w:rsid w:val="00FC1C6C"/>
    <w:rsid w:val="00FC2062"/>
    <w:rsid w:val="00FC255A"/>
    <w:rsid w:val="00FC3A02"/>
    <w:rsid w:val="00FC5837"/>
    <w:rsid w:val="00FD52E1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29A72"/>
  <w15:docId w15:val="{BED3706D-7D0D-4841-B5EE-EB6A217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48B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F2DB6"/>
    <w:pPr>
      <w:keepNext/>
      <w:ind w:left="720" w:hanging="720"/>
      <w:jc w:val="center"/>
      <w:outlineLvl w:val="6"/>
    </w:pPr>
    <w:rPr>
      <w:rFonts w:ascii="Arial" w:hAnsi="Arial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279E"/>
    <w:pPr>
      <w:jc w:val="center"/>
    </w:pPr>
    <w:rPr>
      <w:szCs w:val="20"/>
      <w:u w:val="single"/>
      <w:lang w:eastAsia="en-US"/>
    </w:rPr>
  </w:style>
  <w:style w:type="character" w:styleId="Hyperlink">
    <w:name w:val="Hyperlink"/>
    <w:basedOn w:val="DefaultParagraphFont"/>
    <w:rsid w:val="00D1644F"/>
    <w:rPr>
      <w:color w:val="0000FF"/>
      <w:u w:val="single"/>
    </w:rPr>
  </w:style>
  <w:style w:type="character" w:styleId="FollowedHyperlink">
    <w:name w:val="FollowedHyperlink"/>
    <w:basedOn w:val="DefaultParagraphFont"/>
    <w:rsid w:val="00E07DE4"/>
    <w:rPr>
      <w:color w:val="800080"/>
      <w:u w:val="single"/>
    </w:rPr>
  </w:style>
  <w:style w:type="table" w:styleId="TableGrid">
    <w:name w:val="Table Grid"/>
    <w:basedOn w:val="TableNormal"/>
    <w:uiPriority w:val="39"/>
    <w:rsid w:val="009F1F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F1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15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55FB"/>
    <w:rPr>
      <w:sz w:val="24"/>
      <w:szCs w:val="24"/>
    </w:rPr>
  </w:style>
  <w:style w:type="paragraph" w:styleId="Footer">
    <w:name w:val="footer"/>
    <w:basedOn w:val="Normal"/>
    <w:link w:val="FooterChar"/>
    <w:rsid w:val="004155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55FB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F2DB6"/>
    <w:rPr>
      <w:rFonts w:ascii="Arial" w:hAnsi="Arial"/>
      <w:sz w:val="24"/>
      <w:u w:val="single"/>
      <w:lang w:eastAsia="en-US"/>
    </w:rPr>
  </w:style>
  <w:style w:type="paragraph" w:styleId="NormalWeb">
    <w:name w:val="Normal (Web)"/>
    <w:basedOn w:val="Normal"/>
    <w:unhideWhenUsed/>
    <w:rsid w:val="00D156FB"/>
  </w:style>
  <w:style w:type="paragraph" w:customStyle="1" w:styleId="Bulletpoints">
    <w:name w:val="Bullet points"/>
    <w:qFormat/>
    <w:rsid w:val="00D156FB"/>
    <w:pPr>
      <w:numPr>
        <w:numId w:val="17"/>
      </w:numPr>
      <w:tabs>
        <w:tab w:val="left" w:pos="567"/>
      </w:tabs>
      <w:ind w:left="567" w:hanging="567"/>
    </w:pPr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44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4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B6C"/>
  </w:style>
  <w:style w:type="paragraph" w:styleId="CommentSubject">
    <w:name w:val="annotation subject"/>
    <w:basedOn w:val="CommentText"/>
    <w:next w:val="CommentText"/>
    <w:link w:val="CommentSubjectChar"/>
    <w:rsid w:val="0044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4B6C"/>
    <w:rPr>
      <w:b/>
      <w:bCs/>
    </w:rPr>
  </w:style>
  <w:style w:type="paragraph" w:styleId="BalloonText">
    <w:name w:val="Balloon Text"/>
    <w:basedOn w:val="Normal"/>
    <w:link w:val="BalloonTextChar"/>
    <w:rsid w:val="0044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B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274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C8F178BCAF41B82C65E2C569471A" ma:contentTypeVersion="13" ma:contentTypeDescription="Create a new document." ma:contentTypeScope="" ma:versionID="02fb70d944fb9ad32dc858c6185d64ce">
  <xsd:schema xmlns:xsd="http://www.w3.org/2001/XMLSchema" xmlns:xs="http://www.w3.org/2001/XMLSchema" xmlns:p="http://schemas.microsoft.com/office/2006/metadata/properties" xmlns:ns2="c7cf888d-5f3c-4df4-8a9d-99c9c277e941" xmlns:ns3="d5d3e5b0-a95c-4f56-97cc-a8255bfdccd7" targetNamespace="http://schemas.microsoft.com/office/2006/metadata/properties" ma:root="true" ma:fieldsID="04c07f486a235af89659111f348cd6ba" ns2:_="" ns3:_="">
    <xsd:import namespace="c7cf888d-5f3c-4df4-8a9d-99c9c277e941"/>
    <xsd:import namespace="d5d3e5b0-a95c-4f56-97cc-a8255bfdcc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f888d-5f3c-4df4-8a9d-99c9c277e9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3e5b0-a95c-4f56-97cc-a8255bfdcc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b942af-b75b-4b2a-9358-dc7d5dd69643}" ma:internalName="TaxCatchAll" ma:showField="CatchAllData" ma:web="d5d3e5b0-a95c-4f56-97cc-a8255bfdc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5d3e5b0-a95c-4f56-97cc-a8255bfdccd7" xsi:nil="true"/>
    <lcf76f155ced4ddcb4097134ff3c332f xmlns="c7cf888d-5f3c-4df4-8a9d-99c9c277e9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E64A8-E0B5-4757-8C9A-EFD474F9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f888d-5f3c-4df4-8a9d-99c9c277e941"/>
    <ds:schemaRef ds:uri="d5d3e5b0-a95c-4f56-97cc-a8255bfd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5C409-E223-4A22-B6A1-AAAEA2927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18618-9704-494D-825D-EAC1A09B36A9}">
  <ds:schemaRefs>
    <ds:schemaRef ds:uri="http://schemas.microsoft.com/office/2006/metadata/properties"/>
    <ds:schemaRef ds:uri="d5d3e5b0-a95c-4f56-97cc-a8255bfdccd7"/>
    <ds:schemaRef ds:uri="c7cf888d-5f3c-4df4-8a9d-99c9c277e94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B0EC9-AB35-4B20-8641-47C5F343F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T R O P O L I T A N  B O R O U G H  O F  K N O W S L E Y</vt:lpstr>
    </vt:vector>
  </TitlesOfParts>
  <Company>Knowsley MBC</Company>
  <LinksUpToDate>false</LinksUpToDate>
  <CharactersWithSpaces>2136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http://bertha.knowsley.gov.uk/Staff_Stuff/how_to_guides/Pages/EqualityImpactAssessment.aspx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R O P O L I T A N  B O R O U G H  O F  K N O W S L E Y</dc:title>
  <dc:creator>Authorised User</dc:creator>
  <cp:lastModifiedBy>Cairns, Lynn</cp:lastModifiedBy>
  <cp:revision>138</cp:revision>
  <dcterms:created xsi:type="dcterms:W3CDTF">2024-09-27T10:21:00Z</dcterms:created>
  <dcterms:modified xsi:type="dcterms:W3CDTF">2024-10-30T12:01:00Z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0x010100D489C8F178BCAF41B82C65E2C569471A</vt:lpwstr>
  </property>
  <property fmtid="{D5CDD505-2E9C-101B-9397-08002B2CF9AE}" pid="3" name="MediaServiceImageTags">
    <vt:lpwstr/>
  </property>
</Properties>
</file>